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4160F" w14:textId="409A0E0E" w:rsidR="00553460" w:rsidRDefault="00553460" w:rsidP="008E5DFB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30F0A79" w14:textId="30D03A2D" w:rsidR="00553460" w:rsidRDefault="008E5DFB" w:rsidP="0055346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Практична робота</w:t>
      </w:r>
      <w:r w:rsidR="0055346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3F54ACF6" w14:textId="4116E09F" w:rsidR="008E5DFB" w:rsidRDefault="008E5DFB" w:rsidP="0055346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E5DFB">
        <w:rPr>
          <w:rFonts w:ascii="Times New Roman" w:hAnsi="Times New Roman" w:cs="Times New Roman"/>
          <w:b/>
          <w:bCs/>
          <w:sz w:val="28"/>
          <w:szCs w:val="28"/>
          <w:lang w:val="uk-UA"/>
        </w:rPr>
        <w:t>Нормалізація параметрів освітлення виробничих приміщень</w:t>
      </w:r>
    </w:p>
    <w:p w14:paraId="71CFB118" w14:textId="67A11357" w:rsidR="00553460" w:rsidRDefault="00553460" w:rsidP="0055346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Мета: </w:t>
      </w:r>
      <w:r w:rsidRPr="00553460">
        <w:rPr>
          <w:rFonts w:ascii="Times New Roman" w:hAnsi="Times New Roman" w:cs="Times New Roman"/>
          <w:sz w:val="28"/>
          <w:szCs w:val="28"/>
          <w:lang w:val="uk-UA"/>
        </w:rPr>
        <w:t>ознайомитися із принципами нормування виробничого освітлення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особливостями організації штучного освітлення виробничих приміщень</w:t>
      </w:r>
    </w:p>
    <w:p w14:paraId="0B43ACE3" w14:textId="109AA83A" w:rsidR="00553460" w:rsidRDefault="00553460" w:rsidP="0055346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346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Завдання: </w:t>
      </w: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553460">
        <w:rPr>
          <w:rFonts w:ascii="Times New Roman" w:hAnsi="Times New Roman" w:cs="Times New Roman"/>
          <w:sz w:val="28"/>
          <w:szCs w:val="28"/>
          <w:lang w:val="uk-UA"/>
        </w:rPr>
        <w:t>озрахувати загальне штучне освітлення приміщення за методом коефіцієнта використання світлового потоку для приміщень розмірами, що наведені у таблиці 1</w:t>
      </w:r>
      <w:r w:rsidR="00367765">
        <w:rPr>
          <w:rFonts w:ascii="Times New Roman" w:hAnsi="Times New Roman" w:cs="Times New Roman"/>
          <w:sz w:val="28"/>
          <w:szCs w:val="28"/>
          <w:lang w:val="uk-UA"/>
        </w:rPr>
        <w:t>; тип лампи та коефіцієнти відбиття у таблиці 2; світлові характеристики ламп  у таблиці 3; норми освітленості заданого приміщення у таблиці 4.</w:t>
      </w:r>
    </w:p>
    <w:p w14:paraId="1B8CBC9B" w14:textId="13DEE422" w:rsidR="00553460" w:rsidRDefault="00553460" w:rsidP="00553460">
      <w:pPr>
        <w:jc w:val="both"/>
        <w:rPr>
          <w:rFonts w:ascii="Times New Roman" w:hAnsi="Times New Roman" w:cs="Times New Roman"/>
          <w:noProof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uk-UA"/>
        </w:rPr>
        <w:drawing>
          <wp:inline distT="0" distB="0" distL="0" distR="0" wp14:anchorId="1673788E" wp14:editId="21B296A9">
            <wp:extent cx="6046470" cy="2868286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9685" cy="28792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1853F5" w14:textId="006C718C" w:rsidR="00553460" w:rsidRDefault="001A64F9" w:rsidP="00553460">
      <w:pPr>
        <w:jc w:val="center"/>
        <w:rPr>
          <w:rFonts w:ascii="Times New Roman" w:hAnsi="Times New Roman" w:cs="Times New Roman"/>
          <w:noProof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uk-UA"/>
        </w:rPr>
        <w:drawing>
          <wp:inline distT="0" distB="0" distL="0" distR="0" wp14:anchorId="6CFA1B53" wp14:editId="206954AF">
            <wp:extent cx="5981065" cy="2936683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0853" cy="29414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DBDA10" w14:textId="77777777" w:rsidR="00367765" w:rsidRDefault="00367765" w:rsidP="00553460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</w:pPr>
    </w:p>
    <w:p w14:paraId="7E5FE58B" w14:textId="77777777" w:rsidR="00367765" w:rsidRDefault="00367765" w:rsidP="00553460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</w:pPr>
    </w:p>
    <w:p w14:paraId="5B3D01AC" w14:textId="6349A68F" w:rsidR="00367765" w:rsidRDefault="00367765" w:rsidP="00553460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drawing>
          <wp:inline distT="0" distB="0" distL="0" distR="0" wp14:anchorId="1FD1C756" wp14:editId="3F7685C6">
            <wp:extent cx="5754370" cy="333853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4270" cy="33500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8DF903" w14:textId="77777777" w:rsidR="00367765" w:rsidRDefault="00367765" w:rsidP="00553460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</w:pPr>
    </w:p>
    <w:p w14:paraId="572A52AA" w14:textId="58E7810A" w:rsidR="00367765" w:rsidRDefault="00367765" w:rsidP="00553460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drawing>
          <wp:inline distT="0" distB="0" distL="0" distR="0" wp14:anchorId="30B4A062" wp14:editId="0AC71535">
            <wp:extent cx="5817870" cy="267298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231" cy="26837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7CE0E2" w14:textId="7496C5AC" w:rsidR="00553460" w:rsidRDefault="00553460" w:rsidP="00553460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</w:pPr>
      <w:r w:rsidRPr="00553460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>Хід роботи</w:t>
      </w:r>
    </w:p>
    <w:p w14:paraId="46A67F74" w14:textId="59C58268" w:rsidR="00553460" w:rsidRDefault="00553460" w:rsidP="00553460">
      <w:pPr>
        <w:jc w:val="both"/>
        <w:rPr>
          <w:rFonts w:ascii="Times New Roman" w:hAnsi="Times New Roman" w:cs="Times New Roman"/>
          <w:noProof/>
          <w:sz w:val="28"/>
          <w:szCs w:val="28"/>
          <w:lang w:val="uk-UA"/>
        </w:rPr>
      </w:pPr>
      <w:r w:rsidRPr="00553460">
        <w:rPr>
          <w:rFonts w:ascii="Times New Roman" w:hAnsi="Times New Roman" w:cs="Times New Roman"/>
          <w:noProof/>
          <w:sz w:val="28"/>
          <w:szCs w:val="28"/>
          <w:lang w:val="uk-UA"/>
        </w:rPr>
        <w:t>1. Розраховуємо індекс приміщення</w:t>
      </w:r>
    </w:p>
    <w:p w14:paraId="0928A414" w14:textId="053DA0D0" w:rsidR="00553460" w:rsidRPr="001A64F9" w:rsidRDefault="00553460" w:rsidP="00553460">
      <w:pPr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uk-UA"/>
            </w:rPr>
            <m:t>i=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uk-UA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S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h(a+b)</m:t>
              </m:r>
            </m:den>
          </m:f>
        </m:oMath>
      </m:oMathPara>
    </w:p>
    <w:p w14:paraId="284EF66C" w14:textId="5970970A" w:rsidR="001A64F9" w:rsidRDefault="001A64F9" w:rsidP="00553460">
      <w:pPr>
        <w:jc w:val="both"/>
        <w:rPr>
          <w:rFonts w:ascii="Times New Roman" w:eastAsiaTheme="minorEastAsia" w:hAnsi="Times New Roman" w:cs="Times New Roman"/>
          <w:sz w:val="28"/>
          <w:szCs w:val="28"/>
          <w:vertAlign w:val="superscript"/>
          <w:lang w:val="uk-UA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S – </w:t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>Площа приміщення, м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  <w:lang w:val="uk-UA"/>
        </w:rPr>
        <w:t>2</w:t>
      </w:r>
    </w:p>
    <w:p w14:paraId="4F5F3C1D" w14:textId="43959B47" w:rsidR="001A64F9" w:rsidRDefault="001A64F9" w:rsidP="00553460">
      <w:pPr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a</w:t>
      </w:r>
      <w:r w:rsidRPr="001A64F9">
        <w:rPr>
          <w:rFonts w:ascii="Times New Roman" w:eastAsiaTheme="minorEastAsia" w:hAnsi="Times New Roman" w:cs="Times New Roman"/>
          <w:sz w:val="28"/>
          <w:szCs w:val="28"/>
          <w:lang w:val="ru-RU"/>
        </w:rPr>
        <w:t>,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proofErr w:type="gramEnd"/>
      <w:r w:rsidRPr="001A64F9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– </w:t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>ширина та довжина приміщення відповідно, м</w:t>
      </w:r>
    </w:p>
    <w:p w14:paraId="5D72B866" w14:textId="5AC46D34" w:rsidR="001A64F9" w:rsidRDefault="001A64F9" w:rsidP="00553460">
      <w:pPr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h</w:t>
      </w:r>
      <w:r w:rsidRPr="001A64F9"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– </w:t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>висота підвіски світильника над освітлювальною поверхнею, м</w:t>
      </w:r>
    </w:p>
    <w:p w14:paraId="3C9E4213" w14:textId="7215863A" w:rsidR="001A64F9" w:rsidRDefault="001A64F9" w:rsidP="00553460">
      <w:pPr>
        <w:jc w:val="both"/>
        <w:rPr>
          <w:rFonts w:ascii="Cambria Math" w:eastAsiaTheme="minorEastAsia" w:hAnsi="Cambria Math" w:cs="Times New Roman"/>
          <w:sz w:val="28"/>
          <w:szCs w:val="28"/>
          <w:lang w:val="uk-UA"/>
        </w:rPr>
      </w:pP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lastRenderedPageBreak/>
        <w:t>2.</w:t>
      </w:r>
      <w:r w:rsidR="00367765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З таблиці 5 знаходимо коефіцієнт використання світлового потоку </w:t>
      </w:r>
      <w:r w:rsidR="00367765">
        <w:rPr>
          <w:rFonts w:ascii="Cambria Math" w:eastAsiaTheme="minorEastAsia" w:hAnsi="Cambria Math" w:cs="Times New Roman"/>
          <w:sz w:val="28"/>
          <w:szCs w:val="28"/>
          <w:lang w:val="uk-UA"/>
        </w:rPr>
        <w:t>𝞰 , який залежить від індексу приміщення та коефіцієнтів відбиття від стелі, стін і підлоги:</w:t>
      </w:r>
    </w:p>
    <w:p w14:paraId="606F090C" w14:textId="19EDDAE1" w:rsidR="00367765" w:rsidRDefault="00367765" w:rsidP="00553460">
      <w:pPr>
        <w:jc w:val="both"/>
        <w:rPr>
          <w:rFonts w:ascii="Cambria Math" w:eastAsiaTheme="minorEastAsia" w:hAnsi="Cambria Math" w:cs="Times New Roman"/>
          <w:sz w:val="28"/>
          <w:szCs w:val="28"/>
          <w:lang w:val="uk-UA"/>
        </w:rPr>
      </w:pPr>
      <w:r>
        <w:rPr>
          <w:rFonts w:ascii="Cambria Math" w:eastAsiaTheme="minorEastAsia" w:hAnsi="Cambria Math" w:cs="Times New Roman"/>
          <w:noProof/>
          <w:sz w:val="28"/>
          <w:szCs w:val="28"/>
          <w:lang w:val="uk-UA"/>
        </w:rPr>
        <w:drawing>
          <wp:inline distT="0" distB="0" distL="0" distR="0" wp14:anchorId="5F978A25" wp14:editId="0C0974D8">
            <wp:extent cx="5961380" cy="3911074"/>
            <wp:effectExtent l="0" t="0" r="127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6722" cy="39211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4F3D12" w14:textId="15DC9D6A" w:rsidR="00367765" w:rsidRDefault="00367765" w:rsidP="00553460">
      <w:pPr>
        <w:jc w:val="both"/>
        <w:rPr>
          <w:rFonts w:ascii="Times New Roman" w:hAnsi="Times New Roman" w:cs="Times New Roman"/>
          <w:noProof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uk-UA"/>
        </w:rPr>
        <w:t>3. Визначаємо кількість світильників необхідну для для приміщення заданої площі:</w:t>
      </w:r>
    </w:p>
    <w:p w14:paraId="4B8FA820" w14:textId="35347C7B" w:rsidR="009612AA" w:rsidRDefault="009612AA" w:rsidP="00553460">
      <w:pPr>
        <w:jc w:val="both"/>
        <w:rPr>
          <w:rFonts w:ascii="Times New Roman" w:hAnsi="Times New Roman" w:cs="Times New Roman"/>
          <w:noProof/>
          <w:sz w:val="28"/>
          <w:szCs w:val="28"/>
          <w:lang w:val="uk-UA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  <w:lang w:val="uk-UA"/>
            </w:rPr>
            <m:t>n=</m:t>
          </m:r>
          <m:f>
            <m:fPr>
              <m:ctrlPr>
                <w:rPr>
                  <w:rFonts w:ascii="Cambria Math" w:hAnsi="Cambria Math" w:cs="Times New Roman"/>
                  <w:i/>
                  <w:noProof/>
                  <w:sz w:val="28"/>
                  <w:szCs w:val="28"/>
                  <w:lang w:val="uk-UA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8"/>
                      <w:szCs w:val="28"/>
                      <w:lang w:val="uk-UA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uk-UA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uk-UA"/>
                    </w:rPr>
                    <m:t>н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uk-UA"/>
                </w:rPr>
                <m:t>⋅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en-US"/>
                </w:rPr>
                <m:t>S⋅</m:t>
              </m:r>
              <w:bookmarkStart w:id="0" w:name="_Hlk179880621"/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8"/>
                      <w:szCs w:val="28"/>
                      <w:lang w:val="uk-UA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uk-UA"/>
                    </w:rPr>
                    <m:t>К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uk-UA"/>
                    </w:rPr>
                    <m:t>з</m:t>
                  </m:r>
                </m:sub>
              </m:sSub>
              <w:bookmarkEnd w:id="0"/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uk-UA"/>
                </w:rPr>
                <m:t>⋅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Z</m:t>
              </m:r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uk-UA"/>
                </w:rPr>
                <m:t>N⋅</m:t>
              </m:r>
              <w:bookmarkStart w:id="1" w:name="_Hlk179881021"/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8"/>
                      <w:szCs w:val="28"/>
                      <w:lang w:val="uk-UA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uk-UA"/>
                    </w:rPr>
                    <m:t>Ф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uk-UA"/>
                    </w:rPr>
                    <m:t>л</m:t>
                  </m:r>
                </m:sub>
              </m:sSub>
              <w:bookmarkEnd w:id="1"/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uk-UA"/>
                </w:rPr>
                <m:t>⋅</m:t>
              </m:r>
              <w:bookmarkStart w:id="2" w:name="_Hlk179881108"/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uk-UA"/>
                </w:rPr>
                <m:t>η</m:t>
              </m:r>
              <w:bookmarkEnd w:id="2"/>
            </m:den>
          </m:f>
        </m:oMath>
      </m:oMathPara>
    </w:p>
    <w:p w14:paraId="0F948F8B" w14:textId="51538CCE" w:rsidR="009612AA" w:rsidRDefault="009612AA" w:rsidP="00553460">
      <w:pPr>
        <w:jc w:val="both"/>
        <w:rPr>
          <w:rFonts w:ascii="Times New Roman" w:hAnsi="Times New Roman" w:cs="Times New Roman"/>
          <w:noProof/>
          <w:sz w:val="28"/>
          <w:szCs w:val="28"/>
          <w:lang w:val="uk-UA"/>
        </w:rPr>
      </w:pPr>
    </w:p>
    <w:p w14:paraId="0D4D955A" w14:textId="23B24F04" w:rsidR="009612AA" w:rsidRDefault="009612AA" w:rsidP="00553460">
      <w:pPr>
        <w:jc w:val="both"/>
        <w:rPr>
          <w:rFonts w:ascii="Times New Roman" w:eastAsiaTheme="minorEastAsia" w:hAnsi="Times New Roman" w:cs="Times New Roman"/>
          <w:noProof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Де </w:t>
      </w:r>
      <m:oMath>
        <m:sSub>
          <m:sSub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uk-UA"/>
              </w:rPr>
              <m:t>Е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uk-UA"/>
              </w:rPr>
              <m:t>н</m:t>
            </m:r>
          </m:sub>
        </m:sSub>
      </m:oMath>
      <w:r>
        <w:rPr>
          <w:rFonts w:ascii="Times New Roman" w:eastAsiaTheme="minorEastAsia" w:hAnsi="Times New Roman" w:cs="Times New Roman"/>
          <w:noProof/>
          <w:sz w:val="28"/>
          <w:szCs w:val="28"/>
          <w:lang w:val="uk-UA"/>
        </w:rPr>
        <w:t xml:space="preserve"> – нормована освітленість, Лк (таблиця 4, або</w:t>
      </w:r>
      <w:r w:rsidRPr="009612AA">
        <w:t xml:space="preserve"> </w:t>
      </w:r>
      <w:r w:rsidRPr="009612AA">
        <w:rPr>
          <w:rFonts w:ascii="Times New Roman" w:eastAsiaTheme="minorEastAsia" w:hAnsi="Times New Roman" w:cs="Times New Roman"/>
          <w:noProof/>
          <w:sz w:val="28"/>
          <w:szCs w:val="28"/>
          <w:lang w:val="uk-UA"/>
        </w:rPr>
        <w:t>ДБН В.2.5-28:2018 Природне і штучне освітлення</w:t>
      </w:r>
      <w:r>
        <w:rPr>
          <w:rFonts w:ascii="Times New Roman" w:eastAsiaTheme="minorEastAsia" w:hAnsi="Times New Roman" w:cs="Times New Roman"/>
          <w:noProof/>
          <w:sz w:val="28"/>
          <w:szCs w:val="28"/>
          <w:lang w:val="uk-UA"/>
        </w:rPr>
        <w:t>);</w:t>
      </w:r>
    </w:p>
    <w:p w14:paraId="0A8E0720" w14:textId="3A4FDE2C" w:rsidR="009612AA" w:rsidRDefault="009612AA" w:rsidP="00553460">
      <w:pPr>
        <w:jc w:val="both"/>
        <w:rPr>
          <w:rFonts w:ascii="Times New Roman" w:eastAsiaTheme="minorEastAsia" w:hAnsi="Times New Roman" w:cs="Times New Roman"/>
          <w:noProof/>
          <w:sz w:val="28"/>
          <w:szCs w:val="28"/>
          <w:vertAlign w:val="superscript"/>
          <w:lang w:val="uk-UA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val="en-US"/>
        </w:rPr>
        <w:t>S</w:t>
      </w:r>
      <w:r w:rsidRPr="008E5DFB">
        <w:rPr>
          <w:rFonts w:ascii="Times New Roman" w:eastAsiaTheme="minorEastAsia" w:hAnsi="Times New Roman" w:cs="Times New Roman"/>
          <w:noProof/>
          <w:sz w:val="28"/>
          <w:szCs w:val="28"/>
          <w:lang w:val="uk-UA"/>
        </w:rPr>
        <w:t xml:space="preserve"> – </w:t>
      </w:r>
      <w:r>
        <w:rPr>
          <w:rFonts w:ascii="Times New Roman" w:eastAsiaTheme="minorEastAsia" w:hAnsi="Times New Roman" w:cs="Times New Roman"/>
          <w:noProof/>
          <w:sz w:val="28"/>
          <w:szCs w:val="28"/>
          <w:lang w:val="uk-UA"/>
        </w:rPr>
        <w:t>площа приміщення, м</w:t>
      </w:r>
      <w:r>
        <w:rPr>
          <w:rFonts w:ascii="Times New Roman" w:eastAsiaTheme="minorEastAsia" w:hAnsi="Times New Roman" w:cs="Times New Roman"/>
          <w:noProof/>
          <w:sz w:val="28"/>
          <w:szCs w:val="28"/>
          <w:vertAlign w:val="superscript"/>
          <w:lang w:val="uk-UA"/>
        </w:rPr>
        <w:t>2</w:t>
      </w:r>
    </w:p>
    <w:p w14:paraId="250B017F" w14:textId="574903B4" w:rsidR="009612AA" w:rsidRDefault="008E5DFB" w:rsidP="00553460">
      <w:pPr>
        <w:jc w:val="both"/>
        <w:rPr>
          <w:rFonts w:ascii="Times New Roman" w:eastAsiaTheme="minorEastAsia" w:hAnsi="Times New Roman" w:cs="Times New Roman"/>
          <w:noProof/>
          <w:sz w:val="28"/>
          <w:szCs w:val="28"/>
          <w:lang w:val="uk-UA"/>
        </w:rPr>
      </w:pPr>
      <m:oMath>
        <m:sSub>
          <m:sSub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uk-UA"/>
              </w:rPr>
              <m:t>К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uk-UA"/>
              </w:rPr>
              <m:t>з</m:t>
            </m:r>
          </m:sub>
        </m:sSub>
      </m:oMath>
      <w:r w:rsidR="009612AA">
        <w:rPr>
          <w:rFonts w:ascii="Times New Roman" w:eastAsiaTheme="minorEastAsia" w:hAnsi="Times New Roman" w:cs="Times New Roman"/>
          <w:noProof/>
          <w:sz w:val="28"/>
          <w:szCs w:val="28"/>
          <w:lang w:val="uk-UA"/>
        </w:rPr>
        <w:t xml:space="preserve"> – коефіцієнт запасу, що враховує старіння ламп (в розрахунках приймаємо </w:t>
      </w:r>
      <w:bookmarkStart w:id="3" w:name="_Hlk179880838"/>
      <w:r w:rsidR="009612AA">
        <w:rPr>
          <w:rFonts w:ascii="Times New Roman" w:eastAsiaTheme="minorEastAsia" w:hAnsi="Times New Roman" w:cs="Times New Roman"/>
          <w:noProof/>
          <w:sz w:val="28"/>
          <w:szCs w:val="28"/>
          <w:lang w:val="uk-UA"/>
        </w:rPr>
        <w:t>для ламп розжарювання =1.3; для люмінісцентних = 1.5)</w:t>
      </w:r>
      <w:bookmarkEnd w:id="3"/>
      <w:r w:rsidR="001C2580">
        <w:rPr>
          <w:rFonts w:ascii="Times New Roman" w:eastAsiaTheme="minorEastAsia" w:hAnsi="Times New Roman" w:cs="Times New Roman"/>
          <w:noProof/>
          <w:sz w:val="28"/>
          <w:szCs w:val="28"/>
          <w:lang w:val="uk-UA"/>
        </w:rPr>
        <w:t>;</w:t>
      </w:r>
    </w:p>
    <w:p w14:paraId="1D0698FE" w14:textId="6FBA407E" w:rsidR="009612AA" w:rsidRDefault="009612AA" w:rsidP="00553460">
      <w:pPr>
        <w:jc w:val="both"/>
        <w:rPr>
          <w:rFonts w:ascii="Times New Roman" w:eastAsiaTheme="minorEastAsia" w:hAnsi="Times New Roman" w:cs="Times New Roman"/>
          <w:noProof/>
          <w:sz w:val="28"/>
          <w:szCs w:val="28"/>
          <w:lang w:val="uk-UA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val="en-US"/>
        </w:rPr>
        <w:t>Z</w:t>
      </w:r>
      <w:r w:rsidRPr="009612AA">
        <w:rPr>
          <w:rFonts w:ascii="Times New Roman" w:eastAsiaTheme="minorEastAsia" w:hAnsi="Times New Roman" w:cs="Times New Roman"/>
          <w:noProof/>
          <w:sz w:val="28"/>
          <w:szCs w:val="28"/>
          <w:lang w:val="uk-UA"/>
        </w:rPr>
        <w:t xml:space="preserve"> – </w:t>
      </w:r>
      <w:r>
        <w:rPr>
          <w:rFonts w:ascii="Times New Roman" w:eastAsiaTheme="minorEastAsia" w:hAnsi="Times New Roman" w:cs="Times New Roman"/>
          <w:noProof/>
          <w:sz w:val="28"/>
          <w:szCs w:val="28"/>
          <w:lang w:val="uk-UA"/>
        </w:rPr>
        <w:t>коефіцієнт рівномірності (</w:t>
      </w:r>
      <w:bookmarkStart w:id="4" w:name="_Hlk179880969"/>
      <w:r>
        <w:rPr>
          <w:rFonts w:ascii="Times New Roman" w:eastAsiaTheme="minorEastAsia" w:hAnsi="Times New Roman" w:cs="Times New Roman"/>
          <w:noProof/>
          <w:sz w:val="28"/>
          <w:szCs w:val="28"/>
          <w:lang w:val="uk-UA"/>
        </w:rPr>
        <w:t xml:space="preserve">в розрахунках приймаємо </w:t>
      </w:r>
      <w:r w:rsidRPr="009612AA">
        <w:rPr>
          <w:rFonts w:ascii="Times New Roman" w:eastAsiaTheme="minorEastAsia" w:hAnsi="Times New Roman" w:cs="Times New Roman"/>
          <w:noProof/>
          <w:sz w:val="28"/>
          <w:szCs w:val="28"/>
          <w:lang w:val="uk-UA"/>
        </w:rPr>
        <w:t>для ламп розжарювання =1.</w:t>
      </w:r>
      <w:r>
        <w:rPr>
          <w:rFonts w:ascii="Times New Roman" w:eastAsiaTheme="minorEastAsia" w:hAnsi="Times New Roman" w:cs="Times New Roman"/>
          <w:noProof/>
          <w:sz w:val="28"/>
          <w:szCs w:val="28"/>
          <w:lang w:val="uk-UA"/>
        </w:rPr>
        <w:t>15</w:t>
      </w:r>
      <w:r w:rsidRPr="009612AA">
        <w:rPr>
          <w:rFonts w:ascii="Times New Roman" w:eastAsiaTheme="minorEastAsia" w:hAnsi="Times New Roman" w:cs="Times New Roman"/>
          <w:noProof/>
          <w:sz w:val="28"/>
          <w:szCs w:val="28"/>
          <w:lang w:val="uk-UA"/>
        </w:rPr>
        <w:t>; для люмінісцентних = 1.</w:t>
      </w:r>
      <w:r w:rsidR="001C2580">
        <w:rPr>
          <w:rFonts w:ascii="Times New Roman" w:eastAsiaTheme="minorEastAsia" w:hAnsi="Times New Roman" w:cs="Times New Roman"/>
          <w:noProof/>
          <w:sz w:val="28"/>
          <w:szCs w:val="28"/>
          <w:lang w:val="uk-UA"/>
        </w:rPr>
        <w:t>1</w:t>
      </w:r>
      <w:bookmarkEnd w:id="4"/>
      <w:r>
        <w:rPr>
          <w:rFonts w:ascii="Times New Roman" w:eastAsiaTheme="minorEastAsia" w:hAnsi="Times New Roman" w:cs="Times New Roman"/>
          <w:noProof/>
          <w:sz w:val="28"/>
          <w:szCs w:val="28"/>
          <w:lang w:val="uk-UA"/>
        </w:rPr>
        <w:t>)</w:t>
      </w:r>
      <w:r w:rsidR="001C2580">
        <w:rPr>
          <w:rFonts w:ascii="Times New Roman" w:eastAsiaTheme="minorEastAsia" w:hAnsi="Times New Roman" w:cs="Times New Roman"/>
          <w:noProof/>
          <w:sz w:val="28"/>
          <w:szCs w:val="28"/>
          <w:lang w:val="uk-UA"/>
        </w:rPr>
        <w:t>;</w:t>
      </w:r>
    </w:p>
    <w:p w14:paraId="1A998D12" w14:textId="271FF9D1" w:rsidR="001C2580" w:rsidRDefault="001C2580" w:rsidP="00553460">
      <w:pPr>
        <w:jc w:val="both"/>
        <w:rPr>
          <w:rFonts w:ascii="Times New Roman" w:eastAsiaTheme="minorEastAsia" w:hAnsi="Times New Roman" w:cs="Times New Roman"/>
          <w:noProof/>
          <w:sz w:val="28"/>
          <w:szCs w:val="28"/>
          <w:lang w:val="uk-UA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val="en-US"/>
        </w:rPr>
        <w:t>N</w:t>
      </w:r>
      <w:r w:rsidRPr="001C2580">
        <w:rPr>
          <w:rFonts w:ascii="Times New Roman" w:eastAsiaTheme="minorEastAsia" w:hAnsi="Times New Roman" w:cs="Times New Roman"/>
          <w:noProof/>
          <w:sz w:val="28"/>
          <w:szCs w:val="28"/>
          <w:lang w:val="ru-RU"/>
        </w:rPr>
        <w:t xml:space="preserve"> - </w:t>
      </w:r>
      <w:r>
        <w:rPr>
          <w:rFonts w:ascii="Times New Roman" w:eastAsiaTheme="minorEastAsia" w:hAnsi="Times New Roman" w:cs="Times New Roman"/>
          <w:noProof/>
          <w:sz w:val="28"/>
          <w:szCs w:val="28"/>
          <w:lang w:val="uk-UA"/>
        </w:rPr>
        <w:t xml:space="preserve"> кількість ламп в одному світильнику, шт (</w:t>
      </w:r>
      <w:r w:rsidRPr="001C2580">
        <w:rPr>
          <w:rFonts w:ascii="Times New Roman" w:eastAsiaTheme="minorEastAsia" w:hAnsi="Times New Roman" w:cs="Times New Roman"/>
          <w:noProof/>
          <w:sz w:val="28"/>
          <w:szCs w:val="28"/>
          <w:lang w:val="uk-UA"/>
        </w:rPr>
        <w:t xml:space="preserve">в розрахунках приймаємо для ламп розжарювання =1; для люмінісцентних = </w:t>
      </w:r>
      <w:r>
        <w:rPr>
          <w:rFonts w:ascii="Times New Roman" w:eastAsiaTheme="minorEastAsia" w:hAnsi="Times New Roman" w:cs="Times New Roman"/>
          <w:noProof/>
          <w:sz w:val="28"/>
          <w:szCs w:val="28"/>
          <w:lang w:val="uk-UA"/>
        </w:rPr>
        <w:t>2);</w:t>
      </w:r>
    </w:p>
    <w:p w14:paraId="10BF9035" w14:textId="6391FEFF" w:rsidR="001C2580" w:rsidRDefault="008E5DFB" w:rsidP="00553460">
      <w:pPr>
        <w:jc w:val="both"/>
        <w:rPr>
          <w:rFonts w:ascii="Times New Roman" w:eastAsiaTheme="minorEastAsia" w:hAnsi="Times New Roman" w:cs="Times New Roman"/>
          <w:noProof/>
          <w:sz w:val="28"/>
          <w:szCs w:val="28"/>
          <w:lang w:val="uk-UA"/>
        </w:rPr>
      </w:pPr>
      <m:oMath>
        <m:sSub>
          <m:sSub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uk-UA"/>
              </w:rPr>
              <m:t>Ф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uk-UA"/>
              </w:rPr>
              <m:t>л</m:t>
            </m:r>
          </m:sub>
        </m:sSub>
      </m:oMath>
      <w:r w:rsidR="001C2580">
        <w:rPr>
          <w:rFonts w:ascii="Times New Roman" w:eastAsiaTheme="minorEastAsia" w:hAnsi="Times New Roman" w:cs="Times New Roman"/>
          <w:noProof/>
          <w:sz w:val="28"/>
          <w:szCs w:val="28"/>
          <w:lang w:val="uk-UA"/>
        </w:rPr>
        <w:t xml:space="preserve"> – світловий потік однієї лампи, Лм (приймаємо за табл.3)</w:t>
      </w:r>
    </w:p>
    <w:p w14:paraId="72F061B6" w14:textId="5F12418C" w:rsidR="001C2580" w:rsidRPr="001C2580" w:rsidRDefault="001C2580" w:rsidP="00553460">
      <w:pPr>
        <w:jc w:val="both"/>
        <w:rPr>
          <w:rFonts w:ascii="Times New Roman" w:hAnsi="Times New Roman" w:cs="Times New Roman"/>
          <w:noProof/>
          <w:sz w:val="28"/>
          <w:szCs w:val="28"/>
          <w:lang w:val="uk-UA"/>
        </w:rPr>
      </w:pPr>
      <m:oMath>
        <m:r>
          <w:rPr>
            <w:rFonts w:ascii="Cambria Math" w:hAnsi="Cambria Math" w:cs="Times New Roman"/>
            <w:noProof/>
            <w:sz w:val="28"/>
            <w:szCs w:val="28"/>
            <w:lang w:val="uk-UA"/>
          </w:rPr>
          <w:lastRenderedPageBreak/>
          <m:t>η</m:t>
        </m:r>
      </m:oMath>
      <w:r>
        <w:rPr>
          <w:rFonts w:ascii="Times New Roman" w:eastAsiaTheme="minorEastAsia" w:hAnsi="Times New Roman" w:cs="Times New Roman"/>
          <w:noProof/>
          <w:sz w:val="28"/>
          <w:szCs w:val="28"/>
          <w:lang w:val="uk-UA"/>
        </w:rPr>
        <w:t xml:space="preserve">  - </w:t>
      </w:r>
      <w:r w:rsidRPr="001C2580">
        <w:rPr>
          <w:rFonts w:ascii="Times New Roman" w:eastAsiaTheme="minorEastAsia" w:hAnsi="Times New Roman" w:cs="Times New Roman"/>
          <w:noProof/>
          <w:sz w:val="28"/>
          <w:szCs w:val="28"/>
          <w:lang w:val="uk-UA"/>
        </w:rPr>
        <w:t>коефіцієнт використання світлового потоку</w:t>
      </w:r>
      <w:r>
        <w:rPr>
          <w:rFonts w:ascii="Times New Roman" w:eastAsiaTheme="minorEastAsia" w:hAnsi="Times New Roman" w:cs="Times New Roman"/>
          <w:noProof/>
          <w:sz w:val="28"/>
          <w:szCs w:val="28"/>
          <w:lang w:val="uk-UA"/>
        </w:rPr>
        <w:t xml:space="preserve"> (знайдено в п.2 за таблицею 5) </w:t>
      </w:r>
    </w:p>
    <w:p w14:paraId="6A49BBFD" w14:textId="0DB78E60" w:rsidR="00367765" w:rsidRPr="001A64F9" w:rsidRDefault="001C2580" w:rsidP="0055346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uk-UA"/>
        </w:rPr>
        <w:t>4. Зробити раціональну схему розміщення світильників</w:t>
      </w:r>
    </w:p>
    <w:sectPr w:rsidR="00367765" w:rsidRPr="001A64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BF3"/>
    <w:rsid w:val="001A64F9"/>
    <w:rsid w:val="001C2580"/>
    <w:rsid w:val="00367765"/>
    <w:rsid w:val="00553460"/>
    <w:rsid w:val="008E5DFB"/>
    <w:rsid w:val="009612AA"/>
    <w:rsid w:val="00CA5756"/>
    <w:rsid w:val="00DC6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1B9AB"/>
  <w15:chartTrackingRefBased/>
  <w15:docId w15:val="{B8DA0F87-E704-44A9-95F4-169D6D83A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3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5346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Левашова Юлія Станіславівна</dc:creator>
  <cp:keywords/>
  <dc:description/>
  <cp:lastModifiedBy>Левашова Юлія Станіславівна</cp:lastModifiedBy>
  <cp:revision>3</cp:revision>
  <dcterms:created xsi:type="dcterms:W3CDTF">2024-10-15T06:50:00Z</dcterms:created>
  <dcterms:modified xsi:type="dcterms:W3CDTF">2024-10-15T08:33:00Z</dcterms:modified>
</cp:coreProperties>
</file>