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5901F" w14:textId="77777777" w:rsidR="005A5AF0" w:rsidRPr="0076259A" w:rsidRDefault="005A5AF0" w:rsidP="005A5AF0">
      <w:pPr>
        <w:pStyle w:val="1"/>
        <w:spacing w:before="69"/>
      </w:pPr>
      <w:bookmarkStart w:id="0" w:name="_Toc208216987"/>
      <w:r w:rsidRPr="0076259A">
        <w:rPr>
          <w:caps/>
        </w:rPr>
        <w:t>Лабораторна робота</w:t>
      </w:r>
      <w:r w:rsidRPr="0076259A">
        <w:rPr>
          <w:spacing w:val="-8"/>
        </w:rPr>
        <w:t xml:space="preserve"> </w:t>
      </w:r>
      <w:r w:rsidRPr="0076259A">
        <w:rPr>
          <w:spacing w:val="-10"/>
        </w:rPr>
        <w:t>1</w:t>
      </w:r>
      <w:bookmarkEnd w:id="0"/>
    </w:p>
    <w:p w14:paraId="55E6BB78" w14:textId="77777777" w:rsidR="005A5AF0" w:rsidRPr="0076259A" w:rsidRDefault="005A5AF0" w:rsidP="005A5AF0">
      <w:pPr>
        <w:widowControl/>
        <w:adjustRightInd w:val="0"/>
        <w:spacing w:line="360" w:lineRule="auto"/>
        <w:ind w:firstLine="567"/>
        <w:jc w:val="center"/>
        <w:rPr>
          <w:rFonts w:eastAsiaTheme="minorHAnsi"/>
          <w:b/>
          <w:bCs/>
          <w:caps/>
          <w:color w:val="000000"/>
          <w:sz w:val="28"/>
          <w:szCs w:val="28"/>
        </w:rPr>
      </w:pPr>
      <w:r w:rsidRPr="0076259A">
        <w:rPr>
          <w:rFonts w:eastAsiaTheme="minorHAnsi"/>
          <w:b/>
          <w:bCs/>
          <w:caps/>
          <w:color w:val="000000"/>
          <w:sz w:val="28"/>
          <w:szCs w:val="28"/>
        </w:rPr>
        <w:t xml:space="preserve">Тема: Статистичні методи оцінки якості </w:t>
      </w:r>
    </w:p>
    <w:p w14:paraId="0FB2CC01" w14:textId="77777777" w:rsidR="005A5AF0" w:rsidRPr="0076259A" w:rsidRDefault="005A5AF0" w:rsidP="005A5AF0">
      <w:pPr>
        <w:widowControl/>
        <w:adjustRightInd w:val="0"/>
        <w:spacing w:line="360" w:lineRule="auto"/>
        <w:ind w:firstLine="567"/>
        <w:jc w:val="center"/>
        <w:rPr>
          <w:rFonts w:eastAsiaTheme="minorHAnsi"/>
          <w:b/>
          <w:bCs/>
          <w:caps/>
          <w:color w:val="000000"/>
          <w:sz w:val="28"/>
          <w:szCs w:val="28"/>
        </w:rPr>
      </w:pPr>
      <w:r w:rsidRPr="0076259A">
        <w:rPr>
          <w:rFonts w:eastAsiaTheme="minorHAnsi"/>
          <w:b/>
          <w:bCs/>
          <w:caps/>
          <w:color w:val="000000"/>
          <w:sz w:val="28"/>
          <w:szCs w:val="28"/>
        </w:rPr>
        <w:t>будівельних робіт</w:t>
      </w:r>
    </w:p>
    <w:p w14:paraId="5948FAEF" w14:textId="77777777" w:rsidR="005A5AF0" w:rsidRPr="0076259A" w:rsidRDefault="005A5AF0" w:rsidP="005A5AF0">
      <w:pPr>
        <w:widowControl/>
        <w:adjustRightInd w:val="0"/>
        <w:spacing w:line="360" w:lineRule="auto"/>
        <w:ind w:firstLine="567"/>
        <w:jc w:val="center"/>
        <w:rPr>
          <w:rFonts w:eastAsiaTheme="minorHAnsi"/>
          <w:b/>
          <w:bCs/>
          <w:caps/>
          <w:color w:val="000000"/>
          <w:sz w:val="28"/>
          <w:szCs w:val="28"/>
        </w:rPr>
      </w:pPr>
    </w:p>
    <w:p w14:paraId="5FCF81FB" w14:textId="77777777" w:rsidR="005A5AF0" w:rsidRPr="0076259A" w:rsidRDefault="005A5AF0" w:rsidP="005A5AF0">
      <w:pPr>
        <w:widowControl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157173">
        <w:rPr>
          <w:rFonts w:eastAsiaTheme="minorHAnsi"/>
          <w:b/>
          <w:bCs/>
          <w:color w:val="000000"/>
          <w:sz w:val="28"/>
          <w:szCs w:val="28"/>
        </w:rPr>
        <w:t>Мета роботи</w:t>
      </w:r>
      <w:r w:rsidRPr="00157173">
        <w:rPr>
          <w:rFonts w:eastAsiaTheme="minorHAnsi"/>
          <w:caps/>
          <w:color w:val="000000"/>
          <w:sz w:val="28"/>
          <w:szCs w:val="28"/>
        </w:rPr>
        <w:t>:</w:t>
      </w:r>
      <w:r w:rsidRPr="0076259A">
        <w:rPr>
          <w:rFonts w:eastAsiaTheme="minorHAnsi"/>
          <w:color w:val="000000"/>
          <w:sz w:val="28"/>
          <w:szCs w:val="28"/>
        </w:rPr>
        <w:t xml:space="preserve"> Засвоїти принципи статистичного контролю якості будівельних робіт та матеріалів, навчитися будувати і аналізувати контрольні карти, визначати стабільність технологічних процесів та приймати рішення про відповідність результатів стандартам. </w:t>
      </w:r>
    </w:p>
    <w:p w14:paraId="36BA6E40" w14:textId="77777777" w:rsidR="005A5AF0" w:rsidRPr="0076259A" w:rsidRDefault="005A5AF0" w:rsidP="005A5AF0">
      <w:pPr>
        <w:widowControl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76259A">
        <w:rPr>
          <w:rFonts w:eastAsiaTheme="minorHAnsi"/>
          <w:color w:val="000000"/>
          <w:sz w:val="28"/>
          <w:szCs w:val="28"/>
        </w:rPr>
        <w:t xml:space="preserve">Варіант 1. Провести статистичний аналіз результатів вимірювання товщини штукатурного шару на стіні (10 вимірювань), визначити середнє значення, стандартне відхилення та зробити висновок про якість. </w:t>
      </w:r>
    </w:p>
    <w:p w14:paraId="29244E97" w14:textId="77777777" w:rsidR="005A5AF0" w:rsidRPr="0076259A" w:rsidRDefault="005A5AF0" w:rsidP="005A5AF0">
      <w:pPr>
        <w:widowControl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76259A">
        <w:rPr>
          <w:rFonts w:eastAsiaTheme="minorHAnsi"/>
          <w:color w:val="000000"/>
          <w:sz w:val="28"/>
          <w:szCs w:val="28"/>
        </w:rPr>
        <w:t xml:space="preserve">Варіант 2. За результатами вимірювань діаметра арматурних стержнів (12 зразків) визначити, чи знаходяться всі результати в межах допустимих відхилень, і зробити висновок про якість партії. </w:t>
      </w:r>
    </w:p>
    <w:p w14:paraId="70E7B950" w14:textId="77777777" w:rsidR="005A5AF0" w:rsidRPr="0076259A" w:rsidRDefault="005A5AF0" w:rsidP="005A5AF0">
      <w:pPr>
        <w:widowControl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76259A">
        <w:rPr>
          <w:rFonts w:eastAsiaTheme="minorHAnsi"/>
          <w:color w:val="000000"/>
          <w:sz w:val="28"/>
          <w:szCs w:val="28"/>
        </w:rPr>
        <w:t xml:space="preserve">Варіант 3. Проаналізувати результати перевірки щільності асфальтобетону (15 зразків) та визначити, чи відповідає середня щільність нормативним вимогам. </w:t>
      </w:r>
    </w:p>
    <w:p w14:paraId="04BD36B1" w14:textId="77777777" w:rsidR="005A5AF0" w:rsidRPr="0076259A" w:rsidRDefault="005A5AF0" w:rsidP="005A5AF0">
      <w:pPr>
        <w:widowControl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76259A">
        <w:rPr>
          <w:rFonts w:eastAsiaTheme="minorHAnsi"/>
          <w:color w:val="000000"/>
          <w:sz w:val="28"/>
          <w:szCs w:val="28"/>
        </w:rPr>
        <w:t xml:space="preserve">Варіант 4. Виконати статистичний контроль рівності швів цегляної кладки (8 вимірювань) і оцінити відповідність результатів вимогам </w:t>
      </w:r>
      <w:proofErr w:type="spellStart"/>
      <w:r w:rsidRPr="0076259A">
        <w:rPr>
          <w:rFonts w:eastAsiaTheme="minorHAnsi"/>
          <w:color w:val="000000"/>
          <w:sz w:val="28"/>
          <w:szCs w:val="28"/>
        </w:rPr>
        <w:t>СНіП</w:t>
      </w:r>
      <w:proofErr w:type="spellEnd"/>
      <w:r w:rsidRPr="0076259A">
        <w:rPr>
          <w:rFonts w:eastAsiaTheme="minorHAnsi"/>
          <w:color w:val="000000"/>
          <w:sz w:val="28"/>
          <w:szCs w:val="28"/>
        </w:rPr>
        <w:t xml:space="preserve">. </w:t>
      </w:r>
    </w:p>
    <w:p w14:paraId="69E7C4E4" w14:textId="77777777" w:rsidR="005A5AF0" w:rsidRPr="0076259A" w:rsidRDefault="005A5AF0" w:rsidP="005A5AF0">
      <w:pPr>
        <w:widowControl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76259A">
        <w:rPr>
          <w:rFonts w:eastAsiaTheme="minorHAnsi"/>
          <w:color w:val="000000"/>
          <w:sz w:val="28"/>
          <w:szCs w:val="28"/>
        </w:rPr>
        <w:t xml:space="preserve">Варіант 5. Оцінити якість утеплювача за даними вимірювань товщини плити (10 зразків), побудувати гістограму розподілу і визначити, чи задовольняє матеріал стандарт. </w:t>
      </w:r>
    </w:p>
    <w:p w14:paraId="7B795F8D" w14:textId="77777777" w:rsidR="005A5AF0" w:rsidRPr="0076259A" w:rsidRDefault="005A5AF0" w:rsidP="005A5AF0">
      <w:pPr>
        <w:widowControl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157173">
        <w:rPr>
          <w:rFonts w:eastAsiaTheme="minorHAnsi"/>
          <w:b/>
          <w:bCs/>
          <w:color w:val="000000"/>
          <w:sz w:val="28"/>
          <w:szCs w:val="28"/>
        </w:rPr>
        <w:t>Завдання:</w:t>
      </w:r>
      <w:r>
        <w:rPr>
          <w:rFonts w:eastAsiaTheme="minorHAnsi"/>
          <w:color w:val="000000"/>
          <w:sz w:val="28"/>
          <w:szCs w:val="28"/>
        </w:rPr>
        <w:t xml:space="preserve"> </w:t>
      </w:r>
      <w:r w:rsidRPr="0076259A">
        <w:rPr>
          <w:rFonts w:eastAsiaTheme="minorHAnsi"/>
          <w:color w:val="000000"/>
          <w:sz w:val="28"/>
          <w:szCs w:val="28"/>
        </w:rPr>
        <w:t xml:space="preserve">Провести 10 вимірювань товщини штукатурного шару. Норма: 12 ± 2 мм. Необхідно визначити середнє значення, стандартне відхилення та зробити висновок про якість. </w:t>
      </w:r>
    </w:p>
    <w:p w14:paraId="7A53A6AB" w14:textId="77777777" w:rsidR="005A5AF0" w:rsidRPr="0076259A" w:rsidRDefault="005A5AF0" w:rsidP="005A5AF0">
      <w:pPr>
        <w:widowControl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76259A">
        <w:rPr>
          <w:rFonts w:eastAsiaTheme="minorHAnsi"/>
          <w:b/>
          <w:bCs/>
          <w:color w:val="000000"/>
          <w:sz w:val="28"/>
          <w:szCs w:val="28"/>
        </w:rPr>
        <w:t>Записати дані вимірювань</w:t>
      </w:r>
      <w:r w:rsidRPr="0076259A">
        <w:rPr>
          <w:rFonts w:eastAsiaTheme="minorHAnsi"/>
          <w:color w:val="000000"/>
          <w:sz w:val="28"/>
          <w:szCs w:val="28"/>
        </w:rPr>
        <w:t xml:space="preserve">: 12, 13, 11, 12, 14, 13, 12, 11, 12, 13. (як приклад) </w:t>
      </w:r>
    </w:p>
    <w:p w14:paraId="762DF776" w14:textId="77777777" w:rsidR="005A5AF0" w:rsidRPr="0076259A" w:rsidRDefault="005A5AF0" w:rsidP="005A5AF0">
      <w:pPr>
        <w:pageBreakBefore/>
        <w:widowControl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76259A">
        <w:rPr>
          <w:rFonts w:eastAsiaTheme="minorHAnsi"/>
          <w:b/>
          <w:bCs/>
          <w:color w:val="000000"/>
          <w:sz w:val="28"/>
          <w:szCs w:val="28"/>
        </w:rPr>
        <w:lastRenderedPageBreak/>
        <w:t>Обчислити середнє значення</w:t>
      </w:r>
      <w:r w:rsidRPr="0076259A">
        <w:rPr>
          <w:rFonts w:eastAsiaTheme="minorHAnsi"/>
          <w:color w:val="000000"/>
          <w:sz w:val="28"/>
          <w:szCs w:val="28"/>
        </w:rPr>
        <w:t xml:space="preserve">: X̄ = (12 + 13 + 11 + 12 + 14 + 13 + 12 + 11 + 12 + 13) / 10 = 123 / 10 = 12,3 мм. </w:t>
      </w:r>
    </w:p>
    <w:p w14:paraId="5C7B681F" w14:textId="77777777" w:rsidR="005A5AF0" w:rsidRPr="0076259A" w:rsidRDefault="005A5AF0" w:rsidP="005A5AF0">
      <w:pPr>
        <w:widowControl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76259A">
        <w:rPr>
          <w:rFonts w:eastAsiaTheme="minorHAnsi"/>
          <w:b/>
          <w:bCs/>
          <w:color w:val="000000"/>
          <w:sz w:val="28"/>
          <w:szCs w:val="28"/>
        </w:rPr>
        <w:t>Обчислити стандартне відхилення</w:t>
      </w:r>
      <w:r w:rsidRPr="0076259A">
        <w:rPr>
          <w:rFonts w:eastAsiaTheme="minorHAnsi"/>
          <w:color w:val="000000"/>
          <w:sz w:val="28"/>
          <w:szCs w:val="28"/>
        </w:rPr>
        <w:t xml:space="preserve">: σ ≈ 0,9 мм. </w:t>
      </w:r>
    </w:p>
    <w:p w14:paraId="055649A7" w14:textId="77777777" w:rsidR="005A5AF0" w:rsidRPr="0076259A" w:rsidRDefault="005A5AF0" w:rsidP="005A5AF0">
      <w:pPr>
        <w:widowControl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76259A">
        <w:rPr>
          <w:rFonts w:eastAsiaTheme="minorHAnsi"/>
          <w:b/>
          <w:bCs/>
          <w:color w:val="000000"/>
          <w:sz w:val="28"/>
          <w:szCs w:val="28"/>
        </w:rPr>
        <w:t>Порівняти з нормою</w:t>
      </w:r>
      <w:r w:rsidRPr="0076259A">
        <w:rPr>
          <w:rFonts w:eastAsiaTheme="minorHAnsi"/>
          <w:color w:val="000000"/>
          <w:sz w:val="28"/>
          <w:szCs w:val="28"/>
        </w:rPr>
        <w:t xml:space="preserve">: Норма: 12 ± 2 мм → допустимий діапазон 10–14 мм. Отримані значення знаходяться у межах норми. </w:t>
      </w:r>
    </w:p>
    <w:p w14:paraId="5A543DB8" w14:textId="77777777" w:rsidR="005A5AF0" w:rsidRPr="0076259A" w:rsidRDefault="005A5AF0" w:rsidP="005A5AF0">
      <w:pPr>
        <w:pStyle w:val="a3"/>
        <w:spacing w:before="90" w:line="360" w:lineRule="auto"/>
        <w:ind w:left="0" w:firstLine="567"/>
        <w:jc w:val="both"/>
        <w:rPr>
          <w:rFonts w:eastAsiaTheme="minorHAnsi"/>
          <w:color w:val="000000"/>
        </w:rPr>
      </w:pPr>
      <w:r w:rsidRPr="0076259A">
        <w:rPr>
          <w:rFonts w:eastAsiaTheme="minorHAnsi"/>
          <w:b/>
          <w:bCs/>
          <w:color w:val="000000"/>
        </w:rPr>
        <w:t>Висновок</w:t>
      </w:r>
      <w:r w:rsidRPr="0076259A">
        <w:rPr>
          <w:rFonts w:eastAsiaTheme="minorHAnsi"/>
          <w:color w:val="000000"/>
        </w:rPr>
        <w:t>: Середня товщина штукатурного шару дорівнює 12,3 мм, відхилення невелике, усі результати знаходяться у допустимих межах. Якість робіт відповідає вимогам нормативів.</w:t>
      </w:r>
    </w:p>
    <w:p w14:paraId="1B09B932" w14:textId="77777777" w:rsidR="00F00D89" w:rsidRDefault="00F00D89"/>
    <w:sectPr w:rsidR="00F00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F4"/>
    <w:rsid w:val="001161F4"/>
    <w:rsid w:val="005A5AF0"/>
    <w:rsid w:val="00F0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AEF68-8BF5-4C1F-B9E7-81A4E365F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A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5A5AF0"/>
    <w:pPr>
      <w:spacing w:after="240"/>
      <w:ind w:left="62" w:right="6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5AF0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1"/>
    <w:qFormat/>
    <w:rsid w:val="005A5AF0"/>
    <w:pPr>
      <w:ind w:left="14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A5AF0"/>
    <w:rPr>
      <w:rFonts w:ascii="Times New Roman" w:eastAsia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2025-10-24T06:59:00Z</dcterms:created>
  <dcterms:modified xsi:type="dcterms:W3CDTF">2025-10-24T07:00:00Z</dcterms:modified>
</cp:coreProperties>
</file>